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Глава 4. Права и обязанности граждан в сфере охраны здоровья.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Статья 18. Право на охрану здоровья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1. Каждый имеет право на охрану здоровья.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Статья 19. Право на медицинскую помощь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1. Каждый имеет право на медицинскую помощь.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4. Порядок оказания медицинской помощи иностранным гражданам определяется Правительством Российской Федерации.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5. Пациент имеет право на: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1) выбор врача и выбор медицинской организации в соответствии с настоящим Федеральным законом; 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3) получение консультаций врачей-специалистов;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6) получение лечебного питания в случае нахождения пациента на лечении в стационарных условиях; 7) защиту сведений, составляющих врачебную тайну;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8) отказ от медицинского вмешательства;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9) возмещение вреда, причиненного здоровью при оказании ему медицинской помощи;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10) допуск к нему адвоката или законного представителя для защиты своих прав;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Статья 20. Информированное добровольное согласие на медицинское вмешательство и на отказ от медицинского вмешательства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6. 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9. Медицинское вмешательство без согласия гражданина, одного из родителей или иного законного представителя допускается: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2) в отношении лиц, страдающих заболеваниями, представляющими опасность для окружающих; 3) в отношении лиц, страдающих тяжелыми психическими расстройствами;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4) в отношении лиц, совершивших общественно опасные деяния (преступления); 5) при проведении судебно-медицинской экспертизы и (или) судебно-психиатрической экспертизы.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части 2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Статья 21. Выбор врача и медицинской организации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3. Оказание первичной специализированной медико-санитарной помощи осуществляется: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статьями 25 и 26 настоящего Федерального закона.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